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64" w:rsidRPr="00C4432B" w:rsidRDefault="00E33664" w:rsidP="00E33664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Заседание на ОИК ГЕОРГИ ДАМЯНОВО на 09.05.2025 г.</w:t>
      </w:r>
    </w:p>
    <w:p w:rsidR="00E33664" w:rsidRPr="00C4432B" w:rsidRDefault="00E33664" w:rsidP="00E33664">
      <w:pPr>
        <w:jc w:val="center"/>
        <w:rPr>
          <w:rFonts w:ascii="Helvetica" w:hAnsi="Helvetica" w:cs="Helvetica"/>
          <w:b/>
        </w:rPr>
      </w:pPr>
      <w:proofErr w:type="spell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 w:rsidRPr="00C4432B">
        <w:rPr>
          <w:rFonts w:ascii="Helvetica" w:hAnsi="Helvetica" w:cs="Helvetica"/>
          <w:b/>
        </w:rPr>
        <w:t xml:space="preserve"> 17.30 ч.</w:t>
      </w:r>
    </w:p>
    <w:p w:rsidR="00E33664" w:rsidRPr="00C4432B" w:rsidRDefault="00E33664" w:rsidP="00E33664">
      <w:pPr>
        <w:jc w:val="center"/>
        <w:rPr>
          <w:rFonts w:ascii="Helvetica" w:hAnsi="Helvetica" w:cs="Helvetica"/>
          <w:b/>
          <w:lang w:val="en-US"/>
        </w:rPr>
      </w:pPr>
    </w:p>
    <w:p w:rsidR="00E33664" w:rsidRPr="00C4432B" w:rsidRDefault="00E33664" w:rsidP="00E33664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E33664" w:rsidRPr="00C4432B" w:rsidRDefault="00E33664" w:rsidP="00E33664">
      <w:pPr>
        <w:rPr>
          <w:rFonts w:ascii="Helvetica" w:hAnsi="Helvetica" w:cs="Helvetica"/>
          <w:b/>
        </w:rPr>
      </w:pPr>
    </w:p>
    <w:p w:rsidR="00E33664" w:rsidRPr="00C4432B" w:rsidRDefault="00E33664" w:rsidP="00E33664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="00C4432B">
        <w:rPr>
          <w:rFonts w:ascii="Helvetica" w:hAnsi="Helvetica" w:cs="Helvetica"/>
          <w:b/>
        </w:rPr>
        <w:tab/>
      </w:r>
      <w:r w:rsidR="00C4432B">
        <w:rPr>
          <w:rFonts w:ascii="Helvetica" w:hAnsi="Helvetica" w:cs="Helvetica"/>
          <w:b/>
        </w:rPr>
        <w:tab/>
      </w:r>
      <w:r w:rsid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  <w:t>Последно решение № 167</w:t>
      </w:r>
    </w:p>
    <w:p w:rsidR="00E33664" w:rsidRPr="00E33664" w:rsidRDefault="00E33664" w:rsidP="00E3366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3"/>
        <w:gridCol w:w="1733"/>
      </w:tblGrid>
      <w:tr w:rsidR="00E33664" w:rsidRPr="00E33664" w:rsidTr="00E4014B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E33664" w:rsidP="00A0509A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</w:t>
            </w:r>
            <w:r w:rsidR="00A0509A" w:rsidRPr="00C2455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Определяне срок за подаване на документи за регистрация на партии, коалиции, местни коалиции и инициативни комитети в ОИК </w:t>
            </w:r>
            <w:r w:rsidR="00A0509A"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>ГЕОРГИ ДАМЯНОВО</w:t>
            </w:r>
            <w:r w:rsidR="00A0509A" w:rsidRPr="00C2455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, за участие в частични избори за кмет на кметство с. </w:t>
            </w:r>
            <w:r w:rsidR="00A0509A"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>ДЪЛГИ ДЕЛ</w:t>
            </w:r>
            <w:r w:rsidR="00A0509A" w:rsidRPr="00C2455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, общ. </w:t>
            </w:r>
            <w:r w:rsidR="00A0509A"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>ГЕОРГИ ДАМЯНОВО</w:t>
            </w:r>
            <w:r w:rsidR="00A0509A" w:rsidRPr="00C2455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, обл. </w:t>
            </w:r>
            <w:r w:rsidR="00A0509A"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МОНТАНА </w:t>
            </w:r>
            <w:r w:rsidR="00A0509A" w:rsidRPr="00C2455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на 15.06.2025 г.</w:t>
            </w:r>
            <w:r w:rsidRPr="00E33664">
              <w:rPr>
                <w:rFonts w:ascii="Helvetica" w:eastAsia="Times New Roman" w:hAnsi="Helvetica" w:cs="Helvetica"/>
                <w:sz w:val="20"/>
                <w:szCs w:val="20"/>
                <w:lang w:eastAsia="bg-BG"/>
              </w:rPr>
              <w:t xml:space="preserve"> </w:t>
            </w:r>
            <w:r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</w:t>
            </w:r>
            <w:r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E33664" w:rsidP="00321FD5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321FD5"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>Определяне срок за регистрация на кандидатски листи на партии, коалиции, местни коалиции и инициативни комитети в ОИК ГЕОРГИ ДАМЯНОВО, за участие в частични избори за кмет на кметство с. ДЪЛГИ ДЕЛ, общ. ГЕОРГИ ДАМЯНОВО, обл. МОНТАНА на 15.06.2025 г.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E33664" w:rsidP="000B02A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 </w:t>
            </w:r>
            <w:r w:rsidR="006451C4"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>Формиране и утвърждаване на единните номера на избирателните секции и адресите им на територията на Община ГЕОРГИ ДАМЯНОВО, при произвеждане на частичните избори за кмет на кметство с. ДЪЛГИ ДЕЛ, общ. ГЕОРГИ ДАМЯНОВО, обл. МОНТАНА на 15.06.2025 г.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E33664" w:rsidP="00D3067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 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D30676"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>Определяне броя на членовете на секционните избирателни комисии /СИК/ в община ГЕОРГИ ДАМЯНОВО за произвеждане на частичните избори за кмет на кметство с. ДЪЛГИ ДЕЛ, общ. ГЕОРГИ ДАМЯНОВО, обл. МОНТАНА на 15.06.2025 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E33664" w:rsidP="002D224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="002D224B"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>Разпределение на членовете на СИК по партии и коалиции на територията на Община ГЕОРГИ ДАМЯНОВО</w:t>
            </w:r>
            <w:r w:rsidR="000B02A6">
              <w:rPr>
                <w:rFonts w:ascii="Helvetica" w:hAnsi="Helvetica" w:cs="Helvetica"/>
                <w:color w:val="333333"/>
                <w:sz w:val="20"/>
                <w:szCs w:val="20"/>
              </w:rPr>
              <w:t>, при про</w:t>
            </w:r>
            <w:r w:rsidR="002D224B"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>извеждане на частичните избори за кмет на кметство с. ДЪЛГИ ДЕЛ, общ. ГЕОРГИ ДАМЯНОВО, обл. МОНТАНА на 15.06.2025 г.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 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E33664" w:rsidP="00C4432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C4432B"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>Разпределение на местата в ръководствата на СИК по партии и коалиции. на територията на Община ГЕОРГИ ДАМЯНОВО, при произвеждане на частичните избори за кмет на кметство с. ДЪЛГИ ДЕЛ, общ. ГЕОРГИ ДАМЯНОВО, обл. МОНТАНА на 15.06.2025 г.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E33664" w:rsidRPr="00E33664" w:rsidTr="00E4014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64" w:rsidRPr="00E33664" w:rsidRDefault="00E33664" w:rsidP="00E3366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64" w:rsidRPr="00E33664" w:rsidRDefault="0018495E" w:rsidP="0018495E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AC4FC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Подлежащите на вписване обстоятелства и реда за водене и поддържане на публичните регистри от Общинска избирателна комисия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ДАМЯНОВО</w:t>
            </w:r>
            <w:r w:rsidRPr="00AC4FC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при произвеждане на частични местни избори за кмет на кметство 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ДЪЛГИ ДЕЛ, общ. ГЕОРГИ ДАМЯНОВО, обл. МОНТАНА</w:t>
            </w:r>
            <w:r w:rsidRPr="00AC4FC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 15 юни 2025 г.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64" w:rsidRPr="00E33664" w:rsidRDefault="00E33664" w:rsidP="00E33664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18495E" w:rsidRPr="00E33664" w:rsidTr="00C36E6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E" w:rsidRPr="00E33664" w:rsidRDefault="0018495E" w:rsidP="00C36E6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5E" w:rsidRPr="00E33664" w:rsidRDefault="0018495E" w:rsidP="00C36E6B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Други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. </w:t>
            </w:r>
            <w:r w:rsidRPr="00E33664">
              <w:rPr>
                <w:rFonts w:ascii="Helvetica" w:eastAsia="Times New Roman" w:hAnsi="Helvetica" w:cs="Helvetica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5E" w:rsidRPr="00E33664" w:rsidRDefault="0018495E" w:rsidP="00C36E6B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E33664" w:rsidRPr="00E33664" w:rsidRDefault="00193463" w:rsidP="00E33664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bookmarkStart w:id="0" w:name="_GoBack"/>
      <w:bookmarkEnd w:id="0"/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="00E33664"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E33664" w:rsidRPr="00C4432B" w:rsidRDefault="00E33664" w:rsidP="00E33664">
      <w:pPr>
        <w:rPr>
          <w:rFonts w:ascii="Helvetica" w:hAnsi="Helvetica" w:cs="Helvetica"/>
        </w:rPr>
      </w:pPr>
    </w:p>
    <w:p w:rsidR="00E423B9" w:rsidRPr="00C4432B" w:rsidRDefault="00E423B9">
      <w:pPr>
        <w:rPr>
          <w:rFonts w:ascii="Helvetica" w:hAnsi="Helvetica" w:cs="Helvetica"/>
        </w:rPr>
      </w:pPr>
    </w:p>
    <w:sectPr w:rsidR="00E423B9" w:rsidRPr="00C4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64"/>
    <w:rsid w:val="000B02A6"/>
    <w:rsid w:val="00141A35"/>
    <w:rsid w:val="0018495E"/>
    <w:rsid w:val="00193463"/>
    <w:rsid w:val="002D224B"/>
    <w:rsid w:val="00321FD5"/>
    <w:rsid w:val="006451C4"/>
    <w:rsid w:val="00A0509A"/>
    <w:rsid w:val="00C06E35"/>
    <w:rsid w:val="00C4432B"/>
    <w:rsid w:val="00D30676"/>
    <w:rsid w:val="00E33664"/>
    <w:rsid w:val="00E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024C"/>
  <w15:chartTrackingRefBased/>
  <w15:docId w15:val="{EB8864F7-DE7A-441C-8D99-2B05D6B3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3</cp:revision>
  <cp:lastPrinted>2025-05-09T13:29:00Z</cp:lastPrinted>
  <dcterms:created xsi:type="dcterms:W3CDTF">2025-05-09T13:28:00Z</dcterms:created>
  <dcterms:modified xsi:type="dcterms:W3CDTF">2025-05-09T13:30:00Z</dcterms:modified>
</cp:coreProperties>
</file>