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AB" w:rsidRPr="00882DD7" w:rsidRDefault="000374AB" w:rsidP="00037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882DD7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0374AB" w:rsidRPr="00882DD7" w:rsidRDefault="00F32B75" w:rsidP="000374AB">
      <w:pPr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bg-BG"/>
        </w:rPr>
      </w:pPr>
      <w:r>
        <w:rPr>
          <w:rFonts w:ascii="Helvetica" w:eastAsia="Times New Roman" w:hAnsi="Helvetica" w:cs="Helvetica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374AB" w:rsidRPr="00882DD7" w:rsidRDefault="000374AB" w:rsidP="00037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882DD7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РЕШЕНИЕ</w:t>
      </w:r>
      <w:r w:rsidRPr="00882DD7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№ 170-МИ-НЧ</w:t>
      </w:r>
      <w:r w:rsidRPr="00882DD7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ГЕОРГИ ДАМЯНОВО, 09.05.2025</w:t>
      </w:r>
    </w:p>
    <w:p w:rsidR="000374AB" w:rsidRPr="00C2455E" w:rsidRDefault="000374AB" w:rsidP="000374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</w:p>
    <w:p w:rsidR="000374AB" w:rsidRDefault="000374AB" w:rsidP="000374A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C2455E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</w:rPr>
        <w:t xml:space="preserve">   Формиране и утвърждаване на единните номера на избирателните секции и адресите им на територията на Община ГЕОРГИ ДАМЯНОВО, при произвеждане на частичните избори за кмет на кметство с. ДЪЛГИ ДЕЛ, общ. ГЕОРГИ ДАМЯНОВО, обл. МОНТАНА на 15.06.2025 г.</w:t>
      </w:r>
    </w:p>
    <w:p w:rsidR="000374AB" w:rsidRDefault="000374AB" w:rsidP="000374A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0374AB" w:rsidRDefault="000374AB" w:rsidP="00882DD7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 основание чл. 87, ал. 1, т. 3 и т. 7, във връзка с  чл. 8, ал. 8, във връзка с чл. 464, т. 13 от ИК, Решение № 1969–МИ от 08.08.2023 г. на ЦИК и Заповед № </w:t>
      </w:r>
      <w:r w:rsidR="004357A4">
        <w:rPr>
          <w:rFonts w:ascii="Helvetica" w:hAnsi="Helvetica" w:cs="Helvetica"/>
          <w:color w:val="333333"/>
          <w:sz w:val="21"/>
          <w:szCs w:val="21"/>
        </w:rPr>
        <w:t>141/28.04.</w:t>
      </w:r>
      <w:r>
        <w:rPr>
          <w:rFonts w:ascii="Helvetica" w:hAnsi="Helvetica" w:cs="Helvetica"/>
          <w:color w:val="333333"/>
          <w:sz w:val="21"/>
          <w:szCs w:val="21"/>
        </w:rPr>
        <w:t>2025 год. на Кмета на община ГЕОРГИ ДАМЯНОВО, ОИК ГЕОРГИ ДАМЯНОВО,</w:t>
      </w:r>
    </w:p>
    <w:p w:rsidR="000374AB" w:rsidRDefault="000374AB" w:rsidP="000374A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374AB" w:rsidRDefault="000374AB" w:rsidP="000374A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Р Е Ш И:</w:t>
      </w:r>
    </w:p>
    <w:p w:rsidR="000374AB" w:rsidRDefault="000374AB" w:rsidP="000374A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Формира и утвърждава единна номерация</w:t>
      </w:r>
      <w:r w:rsidR="00882DD7">
        <w:rPr>
          <w:rFonts w:ascii="Helvetica" w:hAnsi="Helvetica" w:cs="Helvetica"/>
          <w:color w:val="333333"/>
          <w:sz w:val="21"/>
          <w:szCs w:val="21"/>
        </w:rPr>
        <w:t xml:space="preserve"> на избирателната секция за про</w:t>
      </w:r>
      <w:r>
        <w:rPr>
          <w:rFonts w:ascii="Helvetica" w:hAnsi="Helvetica" w:cs="Helvetica"/>
          <w:color w:val="333333"/>
          <w:sz w:val="21"/>
          <w:szCs w:val="21"/>
        </w:rPr>
        <w:t>извеждане на частичните избори за кмет на кметство</w:t>
      </w:r>
      <w:r w:rsidRPr="000374AB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с. ДЪЛГИ ДЕЛ, общ. ГЕОРГИ ДАМЯНОВО, обл. МОНТАНА на 15.06.2025 г.на 15.06.2025 г., съобразно единната номерация на секциите, определена с Решение № 1969–МИ от 08.08.2023 г. на Централната избирателна комисия, нейния обхват и адрес, както следва:</w:t>
      </w:r>
    </w:p>
    <w:p w:rsidR="000374AB" w:rsidRDefault="000374AB" w:rsidP="000374AB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За ра</w:t>
      </w:r>
      <w:r w:rsidR="004357A4">
        <w:rPr>
          <w:rStyle w:val="Strong"/>
          <w:rFonts w:ascii="Helvetica" w:hAnsi="Helvetica" w:cs="Helvetica"/>
          <w:color w:val="333333"/>
          <w:sz w:val="21"/>
          <w:szCs w:val="21"/>
        </w:rPr>
        <w:t>йон с. ДЪЛГИ ДЕЛ: секция № 121400007</w:t>
      </w:r>
    </w:p>
    <w:p w:rsidR="000374AB" w:rsidRDefault="000374AB" w:rsidP="000374AB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Административен адрес на секцията</w:t>
      </w:r>
      <w:r>
        <w:rPr>
          <w:rFonts w:ascii="Helvetica" w:hAnsi="Helvetica" w:cs="Helvetica"/>
          <w:color w:val="333333"/>
          <w:sz w:val="21"/>
          <w:szCs w:val="21"/>
        </w:rPr>
        <w:t>: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с. ДЪЛГИ ДЕЛ, ул. „</w:t>
      </w:r>
      <w:r w:rsidR="004357A4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Първа“ 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№ </w:t>
      </w:r>
      <w:r w:rsidR="004357A4">
        <w:rPr>
          <w:rStyle w:val="Strong"/>
          <w:rFonts w:ascii="Helvetica" w:hAnsi="Helvetica" w:cs="Helvetica"/>
          <w:color w:val="333333"/>
          <w:sz w:val="21"/>
          <w:szCs w:val="21"/>
        </w:rPr>
        <w:t>51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(за цялото населено място)</w:t>
      </w:r>
      <w:r w:rsidR="004357A4">
        <w:rPr>
          <w:rStyle w:val="Strong"/>
          <w:rFonts w:ascii="Helvetica" w:hAnsi="Helvetica" w:cs="Helvetica"/>
          <w:color w:val="333333"/>
          <w:sz w:val="21"/>
          <w:szCs w:val="21"/>
        </w:rPr>
        <w:t>, тел.:хххххххххх</w:t>
      </w:r>
      <w:bookmarkStart w:id="0" w:name="_GoBack"/>
      <w:bookmarkEnd w:id="0"/>
    </w:p>
    <w:p w:rsidR="000374AB" w:rsidRDefault="000374AB" w:rsidP="000374AB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оспорване в тридневен срок от обявяването му по реда на чл. 88 от ИК.</w:t>
      </w:r>
    </w:p>
    <w:p w:rsidR="000374AB" w:rsidRDefault="000374AB" w:rsidP="000374A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0374AB" w:rsidRDefault="000374AB" w:rsidP="000374A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0374AB" w:rsidRPr="00C2455E" w:rsidRDefault="000374AB" w:rsidP="000374AB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374AB" w:rsidRPr="00203C3F" w:rsidRDefault="000374AB" w:rsidP="000374A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</w:p>
    <w:p w:rsidR="000374AB" w:rsidRPr="00203C3F" w:rsidRDefault="000374AB" w:rsidP="000374A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Надя Александрова Ангелова</w:t>
      </w:r>
    </w:p>
    <w:p w:rsidR="000374AB" w:rsidRPr="00203C3F" w:rsidRDefault="000374AB" w:rsidP="000374A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0374AB" w:rsidRPr="00203C3F" w:rsidRDefault="000374AB" w:rsidP="000374A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0374AB" w:rsidRPr="00203C3F" w:rsidRDefault="000374AB" w:rsidP="000374A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Бистра Цветкова Георгиева</w:t>
      </w:r>
    </w:p>
    <w:p w:rsidR="000374AB" w:rsidRPr="00C2455E" w:rsidRDefault="000374AB" w:rsidP="000374A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0374AB" w:rsidRDefault="000374AB" w:rsidP="000374AB"/>
    <w:p w:rsidR="000374AB" w:rsidRDefault="000374AB" w:rsidP="000374AB"/>
    <w:p w:rsidR="00E423B9" w:rsidRDefault="00E423B9"/>
    <w:sectPr w:rsidR="00E4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AB"/>
    <w:rsid w:val="000374AB"/>
    <w:rsid w:val="004357A4"/>
    <w:rsid w:val="00882DD7"/>
    <w:rsid w:val="00E4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B0ABE2"/>
  <w15:chartTrackingRefBased/>
  <w15:docId w15:val="{7585B6E7-C2A0-44E4-89CB-33A075F2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4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0374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4</cp:revision>
  <cp:lastPrinted>2025-05-09T16:28:00Z</cp:lastPrinted>
  <dcterms:created xsi:type="dcterms:W3CDTF">2025-05-08T15:04:00Z</dcterms:created>
  <dcterms:modified xsi:type="dcterms:W3CDTF">2025-05-09T16:28:00Z</dcterms:modified>
</cp:coreProperties>
</file>